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748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7424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55.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A"/>
        </w:rPr>
      </w:pPr>
      <w:r>
        <w:rPr>
          <w:rFonts w:cs="Arial" w:ascii="Marianne" w:hAnsi="Marianne"/>
          <w:sz w:val="28"/>
          <w:szCs w:val="26"/>
          <w:bdr w:val="single" w:sz="4" w:space="0" w:color="00000A"/>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417"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 le 10 juillet à ………. heures ………. minutes, en application des articles L. 283 à L. 293 et R.131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ou représentés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 xml:space="preserve"> les conseillers municipaux suivants) </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962" w:type="dxa"/>
        <w:jc w:val="left"/>
        <w:tblInd w:w="0" w:type="dxa"/>
        <w:tblCellMar>
          <w:top w:w="0" w:type="dxa"/>
          <w:left w:w="108" w:type="dxa"/>
          <w:bottom w:w="0" w:type="dxa"/>
          <w:right w:w="108" w:type="dxa"/>
        </w:tblCellMar>
        <w:tblLook w:val="04a0"/>
      </w:tblPr>
      <w:tblGrid>
        <w:gridCol w:w="3142"/>
        <w:gridCol w:w="1844"/>
        <w:gridCol w:w="3147"/>
        <w:gridCol w:w="1828"/>
      </w:tblGrid>
      <w:tr>
        <w:trPr>
          <w:trHeight w:val="1894" w:hRule="atLeast"/>
        </w:trPr>
        <w:tc>
          <w:tcPr>
            <w:tcW w:w="3142"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8" w:type="dxa"/>
            <w:tcBorders/>
            <w:shd w:fill="auto" w:val="clear"/>
            <w:tcMar>
              <w:left w:w="10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7"/>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8"/>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10 juillet 2020 à …………………….... heures et ……………………….. minutes, en triple exemplaire</w:t>
      </w:r>
      <w:r>
        <w:rPr>
          <w:rStyle w:val="Ancredenotedebasdepage"/>
          <w:rFonts w:cs="Arial" w:ascii="Marianne" w:hAnsi="Marianne"/>
          <w:spacing w:val="10"/>
          <w:sz w:val="22"/>
          <w:szCs w:val="26"/>
        </w:rPr>
        <w:footnoteReference w:id="9"/>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0016012"/>
    </w:sdtPr>
    <w:sdtContent>
      <w:p>
        <w:pPr>
          <w:pStyle w:val="Pieddepage"/>
          <w:jc w:val="center"/>
          <w:rPr/>
        </w:pPr>
        <w:r>
          <w:rPr>
            <w:rFonts w:cs="Arial" w:ascii="Marianne" w:hAnsi="Marianne"/>
            <w:sz w:val="22"/>
          </w:rPr>
          <w:fldChar w:fldCharType="begin"/>
        </w:r>
        <w:r>
          <w:instrText> PAGE </w:instrText>
        </w:r>
        <w:r>
          <w:fldChar w:fldCharType="separate"/>
        </w:r>
        <w:r>
          <w:t>10</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142"/>
        <w:jc w:val="both"/>
        <w:rPr>
          <w:rFonts w:ascii="Marianne" w:hAnsi="Marianne"/>
        </w:rPr>
      </w:pPr>
      <w:r>
        <w:rPr>
          <w:rStyle w:val="Footnotereference"/>
        </w:rPr>
        <w:footnoteRef/>
        <w:tab/>
      </w:r>
      <w:r>
        <w:rPr/>
        <w:t xml:space="preserve"> </w:t>
      </w:r>
      <w:r>
        <w:rPr>
          <w:rFonts w:cs="Arial" w:ascii="Marianne" w:hAnsi="Marianne"/>
        </w:rPr>
        <w:t>Le cas échéant préciser à qui ils ont donné pouvoir (art. L.289 du code électoral). Un même conseiller ne peut être porteur que d'un seul pouvoir qui est toujours révocable.</w:t>
      </w:r>
    </w:p>
    <w:p>
      <w:pPr>
        <w:pStyle w:val="Footnotetext"/>
        <w:rPr/>
      </w:pPr>
      <w:r>
        <w:rPr/>
      </w:r>
    </w:p>
  </w:footnote>
  <w:footnote w:id="3">
    <w:p>
      <w:pPr>
        <w:pStyle w:val="Footnotetext"/>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4">
    <w:p>
      <w:pPr>
        <w:pStyle w:val="Normal"/>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quorum(art. 10 de la loi précitée). </w:t>
      </w:r>
    </w:p>
  </w:footnote>
  <w:footnote w:id="5">
    <w:p>
      <w:pPr>
        <w:pStyle w:val="Footnotetext"/>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6">
    <w:p>
      <w:pPr>
        <w:pStyle w:val="Footnotetext"/>
        <w:spacing w:before="40" w:after="40"/>
        <w:ind w:left="284" w:hanging="142"/>
        <w:rPr/>
      </w:pPr>
      <w:r>
        <w:rPr>
          <w:rStyle w:val="Footnotereference"/>
          <w:rFonts w:ascii="Marianne" w:hAnsi="Marianne"/>
        </w:rPr>
        <w:footnoteRef/>
        <w:tab/>
      </w:r>
      <w:r>
        <w:rPr>
          <w:rFonts w:ascii="Marianne" w:hAnsi="Marianne"/>
        </w:rPr>
        <w:t xml:space="preserve"> </w:t>
      </w:r>
      <w:r>
        <w:rPr>
          <w:rFonts w:cs="Arial" w:ascii="Marianne" w:hAnsi="Marianne"/>
        </w:rPr>
        <w:t>Rayer le 4.3. en l’absence de refus du ou des délégués avant l’élection des suppléants.</w:t>
      </w:r>
    </w:p>
  </w:footnote>
  <w:footnote w:id="7">
    <w:p>
      <w:pPr>
        <w:pStyle w:val="Footnotetext"/>
        <w:spacing w:before="40" w:after="40"/>
        <w:ind w:left="284"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 dans les communes de moins de 9 000 habitants.</w:t>
      </w:r>
    </w:p>
  </w:footnote>
  <w:footnote w:id="8">
    <w:p>
      <w:pPr>
        <w:pStyle w:val="Footnotetext"/>
        <w:spacing w:before="40" w:after="40"/>
        <w:ind w:left="284"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 xml:space="preserve">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8e1"/>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cb48e1"/>
    <w:pPr/>
    <w:rPr/>
  </w:style>
  <w:style w:type="paragraph" w:styleId="Entte">
    <w:name w:val="Header"/>
    <w:basedOn w:val="Normal"/>
    <w:link w:val="En-tteCar"/>
    <w:unhideWhenUsed/>
    <w:rsid w:val="00cb48e1"/>
    <w:pPr>
      <w:tabs>
        <w:tab w:val="center" w:pos="4536" w:leader="none"/>
        <w:tab w:val="right" w:pos="9072" w:leader="none"/>
      </w:tabs>
    </w:pPr>
    <w:rPr/>
  </w:style>
  <w:style w:type="paragraph" w:styleId="Pieddepage">
    <w:name w:val="Footer"/>
    <w:basedOn w:val="Normal"/>
    <w:link w:val="PieddepageCar"/>
    <w:uiPriority w:val="99"/>
    <w:unhideWhenUsed/>
    <w:rsid w:val="00cb48e1"/>
    <w:pPr>
      <w:tabs>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B9D6-F4E1-4857-B0E6-3EFE273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LibreOffice/5.4.7.2.M10$Windows_X86_64 LibreOffice_project/8dd9c36825e498b9b45c610823c1129a3ee183ba</Application>
  <Pages>11</Pages>
  <Words>2205</Words>
  <Characters>12981</Characters>
  <CharactersWithSpaces>15176</CharactersWithSpaces>
  <Paragraphs>99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2020-07-07T12:17:42Z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