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23431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234252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84.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ou représentés les conseillers municipaux suivants) </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ou représentés)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 </w:t>
      </w:r>
      <w:r>
        <w:rPr>
          <w:rStyle w:val="Ancredenotedebasdepage"/>
          <w:rFonts w:ascii="Marianne" w:hAnsi="Marianne"/>
          <w:spacing w:val="10"/>
          <w:sz w:val="22"/>
          <w:szCs w:val="24"/>
          <w:u w:val="single"/>
        </w:rPr>
        <w:footnoteReference w:id="4"/>
      </w:r>
      <w:r>
        <w:rPr>
          <w:rFonts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u w:val="single" w:color="000000"/>
        </w:rPr>
      </w:r>
    </w:p>
    <w:p>
      <w:pPr>
        <w:pStyle w:val="Normal"/>
        <w:spacing w:lineRule="auto" w:line="276" w:before="0" w:after="200"/>
        <w:rPr>
          <w:rFonts w:ascii="Marianne" w:hAnsi="Marianne" w:cs="Arial"/>
          <w:spacing w:val="10"/>
          <w:sz w:val="22"/>
          <w:szCs w:val="24"/>
          <w:u w:val="single" w:color="000000"/>
        </w:rPr>
      </w:pPr>
      <w:r>
        <w:rPr>
          <w:rFonts w:cs="Arial" w:ascii="Marianne" w:hAnsi="Marianne"/>
          <w:spacing w:val="10"/>
          <w:sz w:val="22"/>
          <w:szCs w:val="24"/>
          <w:u w:val="single" w:color="000000"/>
        </w:rPr>
      </w:r>
      <w:r>
        <w:br w:type="page"/>
      </w:r>
    </w:p>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cs="Arial" w:ascii="Marianne" w:hAnsi="Marianne"/>
          <w:spacing w:val="10"/>
          <w:sz w:val="22"/>
          <w:szCs w:val="24"/>
          <w:u w:val="single" w:color="000000"/>
        </w:rPr>
        <w:footnoteReference w:id="5"/>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rappelé que le conseil municipal délibère valablement sans condition de quorum conformément à l’article 10 de la loi n° 2020-290 du 23 mars 2020 modifiée.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6"/>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rFonts w:ascii="Marianne" w:hAnsi="Marianne"/>
          <w:spacing w:val="10"/>
          <w:sz w:val="22"/>
        </w:rPr>
      </w:pPr>
      <w:r>
        <w:rPr>
          <w:rFonts w:ascii="Marianne" w:hAnsi="Marianne"/>
          <w:spacing w:val="10"/>
          <w:sz w:val="22"/>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widowControl w:val="false"/>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widowControl w:val="false"/>
        <w:tabs>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(et/ou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sz w:val="22"/>
              </w:rPr>
              <w:t>[b – (c + d)]</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9962" w:type="dxa"/>
        <w:jc w:val="center"/>
        <w:tblInd w:w="0" w:type="dxa"/>
        <w:tblCellMar>
          <w:top w:w="0" w:type="dxa"/>
          <w:left w:w="108" w:type="dxa"/>
          <w:bottom w:w="0" w:type="dxa"/>
          <w:right w:w="108" w:type="dxa"/>
        </w:tblCellMar>
        <w:tblLook w:val="04a0"/>
      </w:tblPr>
      <w:tblGrid>
        <w:gridCol w:w="3158"/>
        <w:gridCol w:w="1842"/>
        <w:gridCol w:w="3138"/>
        <w:gridCol w:w="1823"/>
      </w:tblGrid>
      <w:tr>
        <w:trPr>
          <w:trHeight w:val="1894" w:hRule="atLeast"/>
        </w:trPr>
        <w:tc>
          <w:tcPr>
            <w:tcW w:w="3158" w:type="dxa"/>
            <w:tcBorders/>
            <w:shd w:fill="auto" w:val="clear"/>
            <w:tcMar>
              <w:left w:w="108"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w:t>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3" w:type="dxa"/>
            <w:tcBorders/>
            <w:shd w:fill="auto" w:val="clear"/>
            <w:tcMar>
              <w:left w:w="108"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Refus des délégués</w:t>
      </w:r>
      <w:r>
        <w:rPr>
          <w:rStyle w:val="Ancredenotedebasdepage"/>
          <w:rFonts w:cs="Arial" w:ascii="Marianne" w:hAnsi="Marianne"/>
          <w:b/>
          <w:spacing w:val="10"/>
          <w:sz w:val="26"/>
          <w:szCs w:val="26"/>
          <w:u w:val="single"/>
        </w:rPr>
        <w:footnoteReference w:id="7"/>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(L. 289)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 le premier candidat non élu de la même liste devient suppléant.</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8"/>
      </w:r>
    </w:p>
    <w:p>
      <w:pPr>
        <w:pStyle w:val="Normal"/>
        <w:spacing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9"/>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r>
        <w:rPr>
          <w:rStyle w:val="Ancredenotedebasdepage"/>
          <w:rFonts w:cs="Arial" w:ascii="Marianne" w:hAnsi="Marianne"/>
          <w:b/>
          <w:spacing w:val="10"/>
          <w:sz w:val="26"/>
          <w:szCs w:val="26"/>
          <w:u w:val="single"/>
        </w:rPr>
        <w:footnoteReference w:id="10"/>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 xml:space="preserve">Le présent procès-verbal, dressé et clos le XX juillet 2020 à …………………….... heures et ……………………….. minutes, en triple exemplaire,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left" w:pos="6095" w:leader="none"/>
        </w:tabs>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838049"/>
    </w:sdtPr>
    <w:sdtContent>
      <w:p>
        <w:pPr>
          <w:pStyle w:val="Pieddepage"/>
          <w:jc w:val="center"/>
          <w:rPr/>
        </w:pPr>
        <w:r>
          <w:rPr>
            <w:rFonts w:cs="Arial" w:ascii="Marianne" w:hAnsi="Marianne"/>
            <w:sz w:val="22"/>
          </w:rPr>
          <w:fldChar w:fldCharType="begin"/>
        </w:r>
        <w:r>
          <w:instrText> PAGE </w:instrText>
        </w:r>
        <w:r>
          <w:fldChar w:fldCharType="separate"/>
        </w:r>
        <w:r>
          <w:t>11</w:t>
        </w:r>
        <w: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footnoteRef/>
      </w:r>
    </w:p>
    <w:p>
      <w:pPr>
        <w:pStyle w:val="Footnotetext"/>
        <w:spacing w:before="40" w:after="40"/>
        <w:ind w:left="142" w:hanging="142"/>
        <w:jc w:val="both"/>
        <w:rPr>
          <w:rFonts w:ascii="Marianne" w:hAnsi="Marianne" w:cs="Arial"/>
        </w:rPr>
      </w:pPr>
      <w:r>
        <w:rPr>
          <w:rStyle w:val="Footnotereference"/>
          <w:rFonts w:cs="Arial" w:ascii="Marianne" w:hAnsi="Marianne"/>
        </w:rPr>
        <w:tab/>
      </w:r>
      <w:r>
        <w:rPr>
          <w:rFonts w:cs="Arial" w:ascii="Marianne" w:hAnsi="Marianne"/>
        </w:rPr>
        <w:t xml:space="preserve"> </w:t>
      </w:r>
      <w:r>
        <w:rPr>
          <w:rFonts w:cs="Arial" w:ascii="Marianne" w:hAnsi="Marianne"/>
        </w:rPr>
        <w:t>Indiquer les nom et prénom(s) d’un conseiller par case.</w:t>
      </w:r>
    </w:p>
    <w:p>
      <w:pPr>
        <w:pStyle w:val="Footnotetext"/>
        <w:ind w:left="142" w:hanging="142"/>
        <w:jc w:val="both"/>
        <w:rPr/>
      </w:pPr>
      <w:r>
        <w:rPr/>
      </w:r>
    </w:p>
  </w:footnote>
  <w:footnote w:id="3">
    <w:p>
      <w:pPr>
        <w:pStyle w:val="Normal"/>
        <w:rPr/>
      </w:pPr>
      <w:r>
        <w:rPr/>
        <w:footnoteRef/>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Trois jours au moins doivent séparer la première réunion de la seconde.</w:t>
      </w:r>
    </w:p>
  </w:footnote>
  <w:footnote w:id="4">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Dans les communes de 9 000 habitants et plus, ils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w:t>
      </w:r>
    </w:p>
  </w:footnote>
  <w:footnote w:id="5">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Préciser, s’ils sont excusés, s’ils ont donné pouvoir et le cas échéant à qui (art. L. 289 du code électoral). Un même conseiller ne peut être porteur que d'un seul pouvoir qui est toujours révocable.</w:t>
      </w:r>
    </w:p>
  </w:footnote>
  <w:footnote w:id="6">
    <w:p>
      <w:pPr>
        <w:pStyle w:val="Normal"/>
        <w:rPr/>
      </w:pPr>
      <w:r>
        <w:rPr/>
        <w:footnoteRef/>
      </w:r>
    </w:p>
    <w:p>
      <w:pPr>
        <w:pStyle w:val="Footnotetext"/>
        <w:spacing w:before="40" w:after="40"/>
        <w:ind w:left="284" w:hanging="142"/>
        <w:jc w:val="both"/>
        <w:rPr>
          <w:rFonts w:ascii="Marianne" w:hAnsi="Marianne"/>
        </w:rPr>
      </w:pPr>
      <w:r>
        <w:rPr>
          <w:rStyle w:val="Footnotereference"/>
          <w:rFonts w:ascii="Marianne" w:hAnsi="Marianne"/>
        </w:rPr>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p>
      <w:pPr>
        <w:pStyle w:val="Footnotetext"/>
        <w:rPr/>
      </w:pPr>
      <w:r>
        <w:rPr/>
      </w:r>
    </w:p>
  </w:footnote>
  <w:footnote w:id="7">
    <w:p>
      <w:pPr>
        <w:pStyle w:val="Normal"/>
        <w:rPr/>
      </w:pPr>
      <w:r>
        <w:rPr/>
        <w:footnoteRef/>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8">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Supprimer le 5 dans les communes de moins de 9 000 habitants.</w:t>
      </w:r>
    </w:p>
  </w:footnote>
  <w:footnote w:id="9">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0">
    <w:p>
      <w:pPr>
        <w:pStyle w:val="Normal"/>
        <w:rPr/>
      </w:pPr>
      <w:r>
        <w:rPr/>
        <w:footnoteRef/>
      </w:r>
    </w:p>
    <w:p>
      <w:pPr>
        <w:pStyle w:val="Footnotetext"/>
        <w:spacing w:before="40" w:after="40"/>
        <w:ind w:left="142"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7"/>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ExplorateurdedocumentsCar" w:customStyle="1">
    <w:name w:val="Explorateur de documents Car"/>
    <w:basedOn w:val="DefaultParagraphFont"/>
    <w:link w:val="Explorateurdedocuments"/>
    <w:uiPriority w:val="99"/>
    <w:semiHidden/>
    <w:qFormat/>
    <w:rsid w:val="00c31c6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c31c6b"/>
    <w:rPr>
      <w:rFonts w:ascii="Times New Roman" w:hAnsi="Times New Roman" w:eastAsia="Times New Roman" w:cs="Times New Roman"/>
      <w:b/>
      <w:bCs/>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6356d7"/>
    <w:pPr/>
    <w:rPr/>
  </w:style>
  <w:style w:type="paragraph" w:styleId="Entte">
    <w:name w:val="Header"/>
    <w:basedOn w:val="Normal"/>
    <w:link w:val="En-tteCar"/>
    <w:unhideWhenUsed/>
    <w:rsid w:val="008d0ca7"/>
    <w:pPr>
      <w:tabs>
        <w:tab w:val="center" w:pos="4536" w:leader="none"/>
        <w:tab w:val="right" w:pos="9072" w:leader="none"/>
      </w:tabs>
    </w:pPr>
    <w:rPr/>
  </w:style>
  <w:style w:type="paragraph" w:styleId="Pieddepage">
    <w:name w:val="Footer"/>
    <w:basedOn w:val="Normal"/>
    <w:link w:val="PieddepageCar"/>
    <w:uiPriority w:val="99"/>
    <w:unhideWhenUsed/>
    <w:rsid w:val="008d0ca7"/>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DocumentMap">
    <w:name w:val="Document Map"/>
    <w:basedOn w:val="Normal"/>
    <w:link w:val="ExplorateurdedocumentsCar"/>
    <w:uiPriority w:val="99"/>
    <w:semiHidden/>
    <w:unhideWhenUsed/>
    <w:qFormat/>
    <w:rsid w:val="00c31c6b"/>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c31c6b"/>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67C-AA80-4527-9598-3DD4EA6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LibreOffice/5.4.7.2.M10$Windows_X86_64 LibreOffice_project/8dd9c36825e498b9b45c610823c1129a3ee183ba</Application>
  <Pages>17</Pages>
  <Words>2272</Words>
  <Characters>13265</Characters>
  <CharactersWithSpaces>15526</CharactersWithSpaces>
  <Paragraphs>106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2020-07-07T12:16:38Z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